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C50CE" w14:textId="77777777" w:rsidR="00755E95" w:rsidRPr="00755E95" w:rsidRDefault="00755E95" w:rsidP="00755E95">
      <w:pPr>
        <w:spacing w:before="394" w:after="143" w:line="240" w:lineRule="auto"/>
        <w:textAlignment w:val="baseline"/>
        <w:outlineLvl w:val="0"/>
        <w:rPr>
          <w:rFonts w:ascii="inherit" w:eastAsia="Times New Roman" w:hAnsi="inherit" w:cs="Times New Roman"/>
          <w:color w:val="000000"/>
          <w:kern w:val="36"/>
          <w:sz w:val="59"/>
          <w:szCs w:val="59"/>
          <w:lang w:eastAsia="en-CA"/>
        </w:rPr>
      </w:pPr>
      <w:r w:rsidRPr="00755E95">
        <w:rPr>
          <w:rFonts w:ascii="inherit" w:eastAsia="Times New Roman" w:hAnsi="inherit" w:cs="Times New Roman"/>
          <w:color w:val="000000"/>
          <w:kern w:val="36"/>
          <w:sz w:val="59"/>
          <w:szCs w:val="59"/>
          <w:lang w:eastAsia="en-CA"/>
        </w:rPr>
        <w:t>Connecting Chapter 8</w:t>
      </w:r>
    </w:p>
    <w:p w14:paraId="3084CD66" w14:textId="77777777" w:rsidR="00755E95" w:rsidRPr="00755E95" w:rsidRDefault="00755E95" w:rsidP="00755E95">
      <w:pPr>
        <w:spacing w:before="84" w:after="48" w:line="256" w:lineRule="atLeast"/>
        <w:textAlignment w:val="baseline"/>
        <w:outlineLvl w:val="0"/>
        <w:rPr>
          <w:rFonts w:ascii="inherit" w:eastAsia="Times New Roman" w:hAnsi="inherit" w:cs="Times New Roman"/>
          <w:color w:val="000000"/>
          <w:kern w:val="36"/>
          <w:sz w:val="45"/>
          <w:szCs w:val="45"/>
          <w:lang w:eastAsia="en-CA"/>
        </w:rPr>
      </w:pPr>
      <w:r w:rsidRPr="00755E95">
        <w:rPr>
          <w:rFonts w:ascii="inherit" w:eastAsia="Times New Roman" w:hAnsi="inherit" w:cs="Times New Roman"/>
          <w:color w:val="000000"/>
          <w:kern w:val="36"/>
          <w:sz w:val="45"/>
          <w:szCs w:val="45"/>
          <w:lang w:eastAsia="en-CA"/>
        </w:rPr>
        <w:t>Learning Objectives</w:t>
      </w:r>
    </w:p>
    <w:p w14:paraId="71C87E5F" w14:textId="77777777" w:rsidR="00755E95" w:rsidRPr="00755E95" w:rsidRDefault="00755E95" w:rsidP="00755E95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1Define internal control</w:t>
      </w:r>
    </w:p>
    <w:p w14:paraId="33A4E4D2" w14:textId="77777777" w:rsidR="00755E95" w:rsidRPr="00755E95" w:rsidRDefault="00755E95" w:rsidP="00755E95">
      <w:pPr>
        <w:spacing w:beforeAutospacing="1" w:after="0" w:line="240" w:lineRule="auto"/>
        <w:ind w:left="72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hyperlink r:id="rId5" w:anchor="P7001015477000000000000000006037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What is internal control?</w:t>
        </w:r>
      </w:hyperlink>
    </w:p>
    <w:p w14:paraId="57EB0BC1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Internal Control, page </w:t>
      </w:r>
      <w:hyperlink r:id="rId6" w:anchor="P700101547700000000000000000602F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432</w:t>
        </w:r>
      </w:hyperlink>
    </w:p>
    <w:p w14:paraId="6F2EBF2E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The Sarbanes-Oxley Act and Its Canadian Implications</w:t>
      </w:r>
    </w:p>
    <w:p w14:paraId="6F694045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Why Does Fraud Happen?</w:t>
      </w:r>
    </w:p>
    <w:p w14:paraId="33D37AF2" w14:textId="77777777" w:rsidR="00755E95" w:rsidRPr="00755E95" w:rsidRDefault="00755E95" w:rsidP="00755E95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 xml:space="preserve">2List and describe the components of internal control and control </w:t>
      </w:r>
      <w:proofErr w:type="gramStart"/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procedures</w:t>
      </w:r>
      <w:proofErr w:type="gramEnd"/>
    </w:p>
    <w:p w14:paraId="532074B3" w14:textId="77777777" w:rsidR="00755E95" w:rsidRPr="00755E95" w:rsidRDefault="00755E95" w:rsidP="00755E95">
      <w:pPr>
        <w:spacing w:beforeAutospacing="1" w:after="0" w:line="240" w:lineRule="auto"/>
        <w:ind w:left="72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hyperlink r:id="rId7" w:anchor="P7001015477000000000000000006063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What should we think about when designing an internal control system?</w:t>
        </w:r>
      </w:hyperlink>
    </w:p>
    <w:p w14:paraId="1F29C840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The Components of Internal Control, page </w:t>
      </w:r>
      <w:hyperlink r:id="rId8" w:anchor="P700101547700000000000000000604B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433</w:t>
        </w:r>
      </w:hyperlink>
    </w:p>
    <w:p w14:paraId="20F41532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Internal Control Procedures</w:t>
      </w:r>
    </w:p>
    <w:p w14:paraId="4EDDDFC0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Internal Controls for Ecommerce</w:t>
      </w:r>
    </w:p>
    <w:p w14:paraId="30DDB89F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The Limitations of Internal Control</w:t>
      </w:r>
    </w:p>
    <w:p w14:paraId="45006681" w14:textId="77777777" w:rsidR="00755E95" w:rsidRPr="00755E95" w:rsidRDefault="00755E95" w:rsidP="00755E95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3Prepare a bank reconciliation and the related journal entries</w:t>
      </w:r>
    </w:p>
    <w:p w14:paraId="3B694C4A" w14:textId="77777777" w:rsidR="00755E95" w:rsidRPr="00755E95" w:rsidRDefault="00755E95" w:rsidP="00755E95">
      <w:pPr>
        <w:spacing w:beforeAutospacing="1" w:after="0" w:line="240" w:lineRule="auto"/>
        <w:ind w:left="72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hyperlink r:id="rId9" w:anchor="P700101547700000000000000000613D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What do we do when the bank statement balance and the cash account balance are not the same?</w:t>
        </w:r>
      </w:hyperlink>
    </w:p>
    <w:p w14:paraId="51A07C29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The Bank Account as a Control Device, page </w:t>
      </w:r>
      <w:hyperlink r:id="rId10" w:anchor="P70010154770000000000000000060F8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438</w:t>
        </w:r>
      </w:hyperlink>
    </w:p>
    <w:p w14:paraId="14C82376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The Bank Reconciliation</w:t>
      </w:r>
    </w:p>
    <w:p w14:paraId="5D05354A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Preparing the Bank Reconciliation</w:t>
      </w:r>
    </w:p>
    <w:p w14:paraId="2BDA4667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Journalizing Transactions from the Reconciliation</w:t>
      </w:r>
    </w:p>
    <w:p w14:paraId="6FCBB42F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How Owners and Managers Use the Bank Reconciliation</w:t>
      </w:r>
    </w:p>
    <w:p w14:paraId="74CC55F3" w14:textId="77777777" w:rsidR="00755E95" w:rsidRPr="00755E95" w:rsidRDefault="00755E95" w:rsidP="00755E95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 xml:space="preserve">4Apply internal controls to cash receipts and cash </w:t>
      </w:r>
      <w:proofErr w:type="gramStart"/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payments</w:t>
      </w:r>
      <w:proofErr w:type="gramEnd"/>
    </w:p>
    <w:p w14:paraId="5E0A3440" w14:textId="77777777" w:rsidR="00755E95" w:rsidRPr="00755E95" w:rsidRDefault="00755E95" w:rsidP="00755E95">
      <w:pPr>
        <w:spacing w:beforeAutospacing="1" w:after="0" w:line="240" w:lineRule="auto"/>
        <w:ind w:left="72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hyperlink r:id="rId11" w:anchor="P70010154770000000000000000061F9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How do we implement internal controls for cash receipts and cash payments?</w:t>
        </w:r>
      </w:hyperlink>
    </w:p>
    <w:p w14:paraId="48836785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Internal Control over Cash Receipts, page </w:t>
      </w:r>
      <w:hyperlink r:id="rId12" w:anchor="P70010154770000000000000000061D9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446</w:t>
        </w:r>
      </w:hyperlink>
    </w:p>
    <w:p w14:paraId="74274536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Controls over Cash Receipts</w:t>
      </w:r>
    </w:p>
    <w:p w14:paraId="2197180A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Cash Short and Over</w:t>
      </w:r>
    </w:p>
    <w:p w14:paraId="3C81EF01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Internal Control over Cash Payments, page </w:t>
      </w:r>
      <w:hyperlink r:id="rId13" w:anchor="P700101547700000000000000000622B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449</w:t>
        </w:r>
      </w:hyperlink>
    </w:p>
    <w:p w14:paraId="5FBADC1E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Controls over Payments by Cheque</w:t>
      </w:r>
    </w:p>
    <w:p w14:paraId="1E9B542D" w14:textId="77777777" w:rsidR="00755E95" w:rsidRPr="00755E95" w:rsidRDefault="00755E95" w:rsidP="00755E95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5Apply internal controls to petty cash</w:t>
      </w:r>
    </w:p>
    <w:p w14:paraId="47F8FDB1" w14:textId="77777777" w:rsidR="00755E95" w:rsidRPr="00755E95" w:rsidRDefault="00755E95" w:rsidP="00755E95">
      <w:pPr>
        <w:spacing w:beforeAutospacing="1" w:after="0" w:line="240" w:lineRule="auto"/>
        <w:ind w:left="72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hyperlink r:id="rId14" w:anchor="P7001015477000000000000000006266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How do we implement internal controls for petty cash?</w:t>
        </w:r>
      </w:hyperlink>
    </w:p>
    <w:p w14:paraId="362943BF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Internal Control over Petty Cash, page </w:t>
      </w:r>
      <w:hyperlink r:id="rId15" w:anchor="P7001015477000000000000000006263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451</w:t>
        </w:r>
      </w:hyperlink>
    </w:p>
    <w:p w14:paraId="6818C50F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Creating the Petty Cash Fund</w:t>
      </w:r>
    </w:p>
    <w:p w14:paraId="194CC604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Replenishing the Petty Cash Fund</w:t>
      </w:r>
    </w:p>
    <w:p w14:paraId="31553AB5" w14:textId="77777777" w:rsidR="00755E95" w:rsidRPr="00755E95" w:rsidRDefault="00755E95" w:rsidP="00755E95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6Make ethical business judgments</w:t>
      </w:r>
    </w:p>
    <w:p w14:paraId="2DB9EE86" w14:textId="77777777" w:rsidR="00755E95" w:rsidRPr="00755E95" w:rsidRDefault="00755E95" w:rsidP="00755E95">
      <w:pPr>
        <w:spacing w:beforeAutospacing="1" w:after="0" w:line="240" w:lineRule="auto"/>
        <w:ind w:left="72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hyperlink r:id="rId16" w:anchor="P70010154770000000000000000062F9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Are there steps we can follow when making ethical business judgments?</w:t>
        </w:r>
      </w:hyperlink>
    </w:p>
    <w:p w14:paraId="51004A11" w14:textId="77777777" w:rsidR="00755E95" w:rsidRPr="00755E95" w:rsidRDefault="00755E95" w:rsidP="00755E95">
      <w:pPr>
        <w:numPr>
          <w:ilvl w:val="1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lastRenderedPageBreak/>
        <w:t>Ethics and Accounting, page </w:t>
      </w:r>
      <w:hyperlink r:id="rId17" w:anchor="P70010154770000000000000000062E8" w:tgtFrame="_blank" w:history="1">
        <w:r w:rsidRPr="00755E95">
          <w:rPr>
            <w:rFonts w:ascii="inherit" w:eastAsia="Times New Roman" w:hAnsi="inherit" w:cs="Times New Roman"/>
            <w:color w:val="565656"/>
            <w:sz w:val="24"/>
            <w:szCs w:val="24"/>
            <w:u w:val="single"/>
            <w:bdr w:val="none" w:sz="0" w:space="0" w:color="auto" w:frame="1"/>
            <w:lang w:eastAsia="en-CA"/>
          </w:rPr>
          <w:t>453</w:t>
        </w:r>
      </w:hyperlink>
    </w:p>
    <w:p w14:paraId="132661A5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Corporate and Professional Codes of Ethics</w:t>
      </w:r>
    </w:p>
    <w:p w14:paraId="427CA6E5" w14:textId="77777777" w:rsidR="00755E95" w:rsidRPr="00755E95" w:rsidRDefault="00755E95" w:rsidP="00755E95">
      <w:pPr>
        <w:numPr>
          <w:ilvl w:val="2"/>
          <w:numId w:val="1"/>
        </w:numPr>
        <w:spacing w:after="0" w:line="240" w:lineRule="auto"/>
        <w:ind w:left="2640"/>
        <w:textAlignment w:val="baseline"/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</w:pPr>
      <w:r w:rsidRPr="00755E95">
        <w:rPr>
          <w:rFonts w:ascii="inherit" w:eastAsia="Times New Roman" w:hAnsi="inherit" w:cs="Times New Roman"/>
          <w:color w:val="070707"/>
          <w:sz w:val="24"/>
          <w:szCs w:val="24"/>
          <w:lang w:eastAsia="en-CA"/>
        </w:rPr>
        <w:t>Ethical Issues in Accounting</w:t>
      </w:r>
    </w:p>
    <w:p w14:paraId="2A47306D" w14:textId="77777777" w:rsidR="00755E95" w:rsidRDefault="00755E95" w:rsidP="00755E95">
      <w:pPr>
        <w:pStyle w:val="Ttulo1"/>
        <w:spacing w:before="394" w:beforeAutospacing="0" w:after="143" w:afterAutospacing="0" w:line="288" w:lineRule="atLeast"/>
        <w:textAlignment w:val="baseline"/>
        <w:rPr>
          <w:rFonts w:ascii="inherit" w:hAnsi="inherit"/>
          <w:b w:val="0"/>
          <w:bCs w:val="0"/>
          <w:color w:val="000000"/>
          <w:sz w:val="59"/>
          <w:szCs w:val="59"/>
        </w:rPr>
      </w:pPr>
      <w:r>
        <w:rPr>
          <w:rStyle w:val="number"/>
          <w:rFonts w:ascii="PMNCaeciliaETW02-Bold" w:hAnsi="PMNCaeciliaETW02-Bold"/>
          <w:b w:val="0"/>
          <w:bCs w:val="0"/>
          <w:color w:val="000000"/>
          <w:sz w:val="59"/>
          <w:szCs w:val="59"/>
        </w:rPr>
        <w:t>9</w:t>
      </w:r>
      <w:r>
        <w:rPr>
          <w:rFonts w:ascii="inherit" w:hAnsi="inherit"/>
          <w:b w:val="0"/>
          <w:bCs w:val="0"/>
          <w:color w:val="000000"/>
          <w:sz w:val="59"/>
          <w:szCs w:val="59"/>
        </w:rPr>
        <w:t>Receivables</w:t>
      </w:r>
    </w:p>
    <w:p w14:paraId="08197DDF" w14:textId="77777777" w:rsidR="00755E95" w:rsidRDefault="00755E95" w:rsidP="00755E95">
      <w:pPr>
        <w:pStyle w:val="Ttulo1"/>
        <w:spacing w:before="394" w:beforeAutospacing="0" w:after="143" w:afterAutospacing="0"/>
        <w:textAlignment w:val="baseline"/>
        <w:rPr>
          <w:rFonts w:ascii="inherit" w:hAnsi="inherit"/>
          <w:b w:val="0"/>
          <w:bCs w:val="0"/>
          <w:color w:val="000000"/>
          <w:sz w:val="59"/>
          <w:szCs w:val="59"/>
        </w:rPr>
      </w:pPr>
      <w:r>
        <w:rPr>
          <w:rStyle w:val="label"/>
          <w:rFonts w:ascii="inherit" w:hAnsi="inherit"/>
          <w:b w:val="0"/>
          <w:bCs w:val="0"/>
          <w:color w:val="000000"/>
          <w:sz w:val="59"/>
          <w:szCs w:val="59"/>
        </w:rPr>
        <w:t>Connecting Chapter </w:t>
      </w:r>
      <w:r>
        <w:rPr>
          <w:rStyle w:val="number"/>
          <w:rFonts w:ascii="inherit" w:hAnsi="inherit"/>
          <w:b w:val="0"/>
          <w:bCs w:val="0"/>
          <w:color w:val="000000"/>
          <w:sz w:val="59"/>
          <w:szCs w:val="59"/>
        </w:rPr>
        <w:t>9</w:t>
      </w:r>
    </w:p>
    <w:p w14:paraId="54FE974C" w14:textId="77777777" w:rsidR="00755E95" w:rsidRDefault="00755E95" w:rsidP="00755E95">
      <w:pPr>
        <w:pStyle w:val="Ttulo1"/>
        <w:spacing w:before="84" w:beforeAutospacing="0" w:after="48" w:afterAutospacing="0" w:line="256" w:lineRule="atLeast"/>
        <w:textAlignment w:val="baseline"/>
        <w:rPr>
          <w:rFonts w:ascii="inherit" w:hAnsi="inherit"/>
          <w:b w:val="0"/>
          <w:bCs w:val="0"/>
          <w:color w:val="000000"/>
          <w:sz w:val="45"/>
          <w:szCs w:val="45"/>
        </w:rPr>
      </w:pPr>
      <w:r>
        <w:rPr>
          <w:rStyle w:val="label"/>
          <w:rFonts w:ascii="inherit" w:hAnsi="inherit"/>
          <w:b w:val="0"/>
          <w:bCs w:val="0"/>
          <w:color w:val="000000"/>
          <w:sz w:val="45"/>
          <w:szCs w:val="45"/>
        </w:rPr>
        <w:t>Learning Objectives</w:t>
      </w:r>
    </w:p>
    <w:p w14:paraId="45FF1CCB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1</w:t>
      </w:r>
      <w:r>
        <w:rPr>
          <w:rFonts w:ascii="inherit" w:hAnsi="inherit"/>
          <w:color w:val="070707"/>
        </w:rPr>
        <w:t>Define common types of receivables, and report receivables on the balance sheet</w:t>
      </w:r>
    </w:p>
    <w:p w14:paraId="67007DF2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18" w:anchor="P7001015477000000000000000006C0B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What are receivables, and how are they reported on the balance sheet?</w:t>
        </w:r>
      </w:hyperlink>
    </w:p>
    <w:p w14:paraId="18ECA3D4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Receivables: An Introduction, page </w:t>
      </w:r>
      <w:hyperlink r:id="rId19" w:anchor="P7001015477000000000000000006C05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494</w:t>
        </w:r>
      </w:hyperlink>
    </w:p>
    <w:p w14:paraId="4955B99B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Types of Receivables</w:t>
      </w:r>
    </w:p>
    <w:p w14:paraId="78BE54FC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2</w:t>
      </w:r>
      <w:r>
        <w:rPr>
          <w:rFonts w:ascii="inherit" w:hAnsi="inherit"/>
          <w:color w:val="070707"/>
        </w:rPr>
        <w:t xml:space="preserve">Use the allowance method to account for </w:t>
      </w:r>
      <w:proofErr w:type="spellStart"/>
      <w:r>
        <w:rPr>
          <w:rFonts w:ascii="inherit" w:hAnsi="inherit"/>
          <w:color w:val="070707"/>
        </w:rPr>
        <w:t>uncollectibles</w:t>
      </w:r>
      <w:proofErr w:type="spellEnd"/>
      <w:r>
        <w:rPr>
          <w:rFonts w:ascii="inherit" w:hAnsi="inherit"/>
          <w:color w:val="070707"/>
        </w:rPr>
        <w:t xml:space="preserve">, and estimate </w:t>
      </w:r>
      <w:proofErr w:type="spellStart"/>
      <w:r>
        <w:rPr>
          <w:rFonts w:ascii="inherit" w:hAnsi="inherit"/>
          <w:color w:val="070707"/>
        </w:rPr>
        <w:t>uncollectibles</w:t>
      </w:r>
      <w:proofErr w:type="spellEnd"/>
      <w:r>
        <w:rPr>
          <w:rFonts w:ascii="inherit" w:hAnsi="inherit"/>
          <w:color w:val="070707"/>
        </w:rPr>
        <w:t xml:space="preserve"> by the percent-of-sales, aging-of-accounts-receivable, and the percent-of-accounts-receivable </w:t>
      </w:r>
      <w:proofErr w:type="gramStart"/>
      <w:r>
        <w:rPr>
          <w:rFonts w:ascii="inherit" w:hAnsi="inherit"/>
          <w:color w:val="070707"/>
        </w:rPr>
        <w:t>methods</w:t>
      </w:r>
      <w:proofErr w:type="gramEnd"/>
    </w:p>
    <w:p w14:paraId="38CF340B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20" w:anchor="P7001015477000000000000000006C40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Why would companies estimate their uncollectible accounts receivable, and how could they do that?</w:t>
        </w:r>
      </w:hyperlink>
    </w:p>
    <w:p w14:paraId="000C6470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Accounting for Uncollectible Accounts, page </w:t>
      </w:r>
      <w:hyperlink r:id="rId21" w:anchor="P7001015477000000000000000006C3D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496</w:t>
        </w:r>
      </w:hyperlink>
    </w:p>
    <w:p w14:paraId="7675D960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The Allowance Method</w:t>
      </w:r>
    </w:p>
    <w:p w14:paraId="22213D07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 xml:space="preserve">Estimating </w:t>
      </w:r>
      <w:proofErr w:type="spellStart"/>
      <w:r>
        <w:rPr>
          <w:rFonts w:ascii="inherit" w:hAnsi="inherit"/>
          <w:color w:val="070707"/>
        </w:rPr>
        <w:t>Uncollectibles</w:t>
      </w:r>
      <w:proofErr w:type="spellEnd"/>
    </w:p>
    <w:p w14:paraId="702EEE1C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Writing Off Uncollectible Accounts</w:t>
      </w:r>
    </w:p>
    <w:p w14:paraId="5371ADB1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Recovery of Accounts Previously Written Off</w:t>
      </w:r>
    </w:p>
    <w:p w14:paraId="4B215384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3</w:t>
      </w:r>
      <w:r>
        <w:rPr>
          <w:rFonts w:ascii="inherit" w:hAnsi="inherit"/>
          <w:color w:val="070707"/>
        </w:rPr>
        <w:t xml:space="preserve">Use the direct write-off method to account for </w:t>
      </w:r>
      <w:proofErr w:type="spellStart"/>
      <w:proofErr w:type="gramStart"/>
      <w:r>
        <w:rPr>
          <w:rFonts w:ascii="inherit" w:hAnsi="inherit"/>
          <w:color w:val="070707"/>
        </w:rPr>
        <w:t>uncollectibles</w:t>
      </w:r>
      <w:proofErr w:type="spellEnd"/>
      <w:proofErr w:type="gramEnd"/>
    </w:p>
    <w:p w14:paraId="588DBE3A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22" w:anchor="P7001015477000000000000000006D41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What is the direct write-off method?</w:t>
        </w:r>
      </w:hyperlink>
    </w:p>
    <w:p w14:paraId="50C797A7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The Direct Write-Off Method, page </w:t>
      </w:r>
      <w:hyperlink r:id="rId23" w:anchor="P7001015477000000000000000006D12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503</w:t>
        </w:r>
      </w:hyperlink>
    </w:p>
    <w:p w14:paraId="1411C0AE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Exercising Internal Control over Receivables</w:t>
      </w:r>
    </w:p>
    <w:p w14:paraId="081992FB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4</w:t>
      </w:r>
      <w:r>
        <w:rPr>
          <w:rFonts w:ascii="inherit" w:hAnsi="inherit"/>
          <w:color w:val="070707"/>
        </w:rPr>
        <w:t>Account for credit card, debit card, and online sales</w:t>
      </w:r>
    </w:p>
    <w:p w14:paraId="58284A66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24" w:anchor="P7001015477000000000000000006D6D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How do we record credit card, debit card, and online transactions?</w:t>
        </w:r>
      </w:hyperlink>
    </w:p>
    <w:p w14:paraId="1CBB1322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Other Payment Methods, page </w:t>
      </w:r>
      <w:hyperlink r:id="rId25" w:anchor="P7001015477000000000000000006D60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505</w:t>
        </w:r>
      </w:hyperlink>
    </w:p>
    <w:p w14:paraId="4FD9BE4A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Credit Card Sales</w:t>
      </w:r>
    </w:p>
    <w:p w14:paraId="6F660CE6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Debit Card Sales</w:t>
      </w:r>
    </w:p>
    <w:p w14:paraId="3909C299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Online Payments</w:t>
      </w:r>
    </w:p>
    <w:p w14:paraId="467B48EA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5</w:t>
      </w:r>
      <w:r>
        <w:rPr>
          <w:rFonts w:ascii="inherit" w:hAnsi="inherit"/>
          <w:color w:val="070707"/>
        </w:rPr>
        <w:t>Account for notes receivable</w:t>
      </w:r>
    </w:p>
    <w:p w14:paraId="02A910FA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26" w:anchor="P7001015477000000000000000006DA1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What are notes receivable, and how do we account for these assets?</w:t>
        </w:r>
      </w:hyperlink>
    </w:p>
    <w:p w14:paraId="2AFD03BD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Accounting for Notes Receivable, page </w:t>
      </w:r>
      <w:hyperlink r:id="rId27" w:anchor="P7001015477000000000000000006D9E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507</w:t>
        </w:r>
      </w:hyperlink>
    </w:p>
    <w:p w14:paraId="478536FD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lastRenderedPageBreak/>
        <w:t>Identifying the Maturity Date of a Note</w:t>
      </w:r>
    </w:p>
    <w:p w14:paraId="5C9B63C5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Computing Simple Interest on a Note</w:t>
      </w:r>
    </w:p>
    <w:p w14:paraId="504F70EE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Recording Notes Receivable</w:t>
      </w:r>
    </w:p>
    <w:p w14:paraId="12AC37AD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Accruing Interest Revenue</w:t>
      </w:r>
    </w:p>
    <w:p w14:paraId="73E099D2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Dishonoured Notes Receivable</w:t>
      </w:r>
    </w:p>
    <w:p w14:paraId="0A7A136A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6</w:t>
      </w:r>
      <w:r>
        <w:rPr>
          <w:rFonts w:ascii="inherit" w:hAnsi="inherit"/>
          <w:color w:val="070707"/>
        </w:rPr>
        <w:t xml:space="preserve">Use the acid-test ratio and days’ sales in receivables to evaluate a </w:t>
      </w:r>
      <w:proofErr w:type="gramStart"/>
      <w:r>
        <w:rPr>
          <w:rFonts w:ascii="inherit" w:hAnsi="inherit"/>
          <w:color w:val="070707"/>
        </w:rPr>
        <w:t>company</w:t>
      </w:r>
      <w:proofErr w:type="gramEnd"/>
    </w:p>
    <w:p w14:paraId="08478262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28" w:anchor="P7001015477000000000000000006E14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How can we evaluate how effectively a company manages its current assets?</w:t>
        </w:r>
      </w:hyperlink>
    </w:p>
    <w:p w14:paraId="3A6197E8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Using Accounting Information for Decision Making, page </w:t>
      </w:r>
      <w:hyperlink r:id="rId29" w:anchor="P7001015477000000000000000006DFD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511</w:t>
        </w:r>
      </w:hyperlink>
    </w:p>
    <w:p w14:paraId="4D0D82DC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Acid-Test (or Quick) Ratio</w:t>
      </w:r>
    </w:p>
    <w:p w14:paraId="1A621B20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Days’ Sales in Receivables</w:t>
      </w:r>
    </w:p>
    <w:p w14:paraId="40B74F00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Accounts Receivable Turnover</w:t>
      </w:r>
    </w:p>
    <w:p w14:paraId="535E8B90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7</w:t>
      </w:r>
      <w:r>
        <w:rPr>
          <w:rFonts w:ascii="inherit" w:hAnsi="inherit"/>
          <w:color w:val="070707"/>
        </w:rPr>
        <w:t>Understand the impact on accounts receivable of International Financial Reporting Standards (IFRS)</w:t>
      </w:r>
    </w:p>
    <w:p w14:paraId="6D1D07F9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30" w:anchor="P7001015477000000000000000006E39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How does IFRS affect accounts receivable?</w:t>
        </w:r>
      </w:hyperlink>
    </w:p>
    <w:p w14:paraId="0DC7D48B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The Impact of IFRS on Accounts Receivable, page </w:t>
      </w:r>
      <w:hyperlink r:id="rId31" w:anchor="P7001015477000000000000000006E32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513</w:t>
        </w:r>
      </w:hyperlink>
    </w:p>
    <w:p w14:paraId="4631A05A" w14:textId="77777777" w:rsidR="00755E95" w:rsidRDefault="00755E95" w:rsidP="00755E95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Style w:val="number"/>
          <w:rFonts w:ascii="inherit" w:hAnsi="inherit"/>
          <w:color w:val="070707"/>
        </w:rPr>
        <w:t>A1</w:t>
      </w:r>
      <w:r>
        <w:rPr>
          <w:rFonts w:ascii="inherit" w:hAnsi="inherit"/>
          <w:color w:val="070707"/>
        </w:rPr>
        <w:t>Discount a notes receivable</w:t>
      </w:r>
    </w:p>
    <w:p w14:paraId="78E17DF3" w14:textId="77777777" w:rsidR="00755E95" w:rsidRDefault="00755E95" w:rsidP="00755E95">
      <w:pPr>
        <w:pStyle w:val="NormalWeb"/>
        <w:spacing w:before="0" w:after="0" w:afterAutospacing="0"/>
        <w:ind w:left="720"/>
        <w:textAlignment w:val="baseline"/>
        <w:rPr>
          <w:rFonts w:ascii="inherit" w:hAnsi="inherit"/>
          <w:color w:val="070707"/>
        </w:rPr>
      </w:pPr>
      <w:hyperlink r:id="rId32" w:anchor="P7001015477000000000000000006E82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 xml:space="preserve">Is it possible to receive cash from a </w:t>
        </w:r>
        <w:proofErr w:type="gramStart"/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notes</w:t>
        </w:r>
        <w:proofErr w:type="gramEnd"/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 xml:space="preserve"> receivable prior to the note’s maturity date?</w:t>
        </w:r>
      </w:hyperlink>
    </w:p>
    <w:p w14:paraId="7DA9CAA2" w14:textId="77777777" w:rsidR="00755E95" w:rsidRDefault="00755E95" w:rsidP="00755E95">
      <w:pPr>
        <w:pStyle w:val="NormalWeb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Discounting (Selling) a Notes Receivable, page </w:t>
      </w:r>
      <w:hyperlink r:id="rId33" w:anchor="P7001015477000000000000000006E7D" w:tgtFrame="_blank" w:history="1">
        <w:r>
          <w:rPr>
            <w:rStyle w:val="Hipervnculo"/>
            <w:rFonts w:ascii="inherit" w:hAnsi="inherit"/>
            <w:color w:val="565656"/>
            <w:bdr w:val="none" w:sz="0" w:space="0" w:color="auto" w:frame="1"/>
          </w:rPr>
          <w:t>515</w:t>
        </w:r>
      </w:hyperlink>
    </w:p>
    <w:p w14:paraId="75CFB6B0" w14:textId="77777777" w:rsidR="00755E95" w:rsidRDefault="00755E95" w:rsidP="00755E95">
      <w:pPr>
        <w:pStyle w:val="NormalWeb"/>
        <w:numPr>
          <w:ilvl w:val="2"/>
          <w:numId w:val="2"/>
        </w:numPr>
        <w:spacing w:before="0" w:beforeAutospacing="0" w:after="0" w:afterAutospacing="0"/>
        <w:ind w:left="2640"/>
        <w:textAlignment w:val="baseline"/>
        <w:rPr>
          <w:rFonts w:ascii="inherit" w:hAnsi="inherit"/>
          <w:color w:val="070707"/>
        </w:rPr>
      </w:pPr>
      <w:r>
        <w:rPr>
          <w:rFonts w:ascii="inherit" w:hAnsi="inherit"/>
          <w:color w:val="070707"/>
        </w:rPr>
        <w:t>Pledging Accounts Receivable</w:t>
      </w:r>
    </w:p>
    <w:p w14:paraId="431B829F" w14:textId="77777777" w:rsidR="00551B43" w:rsidRDefault="00551B43"/>
    <w:sectPr w:rsidR="00551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MNCaeciliaETW02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365B9"/>
    <w:multiLevelType w:val="multilevel"/>
    <w:tmpl w:val="9000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713DC"/>
    <w:multiLevelType w:val="multilevel"/>
    <w:tmpl w:val="0B78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95"/>
    <w:rsid w:val="00551B43"/>
    <w:rsid w:val="0075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DFA8"/>
  <w15:chartTrackingRefBased/>
  <w15:docId w15:val="{77FE82EC-39F5-4AA6-B371-5A03A07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55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E95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label">
    <w:name w:val="label"/>
    <w:basedOn w:val="Fuentedeprrafopredeter"/>
    <w:rsid w:val="00755E95"/>
  </w:style>
  <w:style w:type="character" w:customStyle="1" w:styleId="number">
    <w:name w:val="number"/>
    <w:basedOn w:val="Fuentedeprrafopredeter"/>
    <w:rsid w:val="00755E95"/>
  </w:style>
  <w:style w:type="paragraph" w:styleId="NormalWeb">
    <w:name w:val="Normal (Web)"/>
    <w:basedOn w:val="Normal"/>
    <w:uiPriority w:val="99"/>
    <w:semiHidden/>
    <w:unhideWhenUsed/>
    <w:rsid w:val="0075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ipervnculo">
    <w:name w:val="Hyperlink"/>
    <w:basedOn w:val="Fuentedeprrafopredeter"/>
    <w:uiPriority w:val="99"/>
    <w:semiHidden/>
    <w:unhideWhenUsed/>
    <w:rsid w:val="00755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text-ise.pearson.com/eps/pearson-reader/api/item/80b490d3-a1ab-4627-bdae-ee8e47cbd061/1/file/9780135243749_et2_dccsb_pc_redserif_default/OPS/xhtml/M08_MILL9709_11_SE_C08_194.xhtml" TargetMode="External"/><Relationship Id="rId18" Type="http://schemas.openxmlformats.org/officeDocument/2006/relationships/hyperlink" Target="https://etext-ise.pearson.com/eps/pearson-reader/api/item/80b490d3-a1ab-4627-bdae-ee8e47cbd061/1/file/9780135243749_et2_dccsb_pc_redserif_default/OPS/xhtml/M09_MILL9709_11_SE_C09_207.xhtml" TargetMode="External"/><Relationship Id="rId26" Type="http://schemas.openxmlformats.org/officeDocument/2006/relationships/hyperlink" Target="https://etext-ise.pearson.com/eps/pearson-reader/api/item/80b490d3-a1ab-4627-bdae-ee8e47cbd061/1/file/9780135243749_et2_dccsb_pc_redserif_default/OPS/xhtml/M09_MILL9709_11_SE_C09_220.x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text-ise.pearson.com/eps/pearson-reader/api/item/80b490d3-a1ab-4627-bdae-ee8e47cbd061/1/file/9780135243749_et2_dccsb_pc_redserif_default/OPS/xhtml/M09_MILL9709_11_SE_C09_209.x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text-ise.pearson.com/eps/pearson-reader/api/item/80b490d3-a1ab-4627-bdae-ee8e47cbd061/1/file/9780135243749_et2_dccsb_pc_redserif_default/OPS/xhtml/M08_MILL9709_11_SE_C08_179.xhtml" TargetMode="External"/><Relationship Id="rId12" Type="http://schemas.openxmlformats.org/officeDocument/2006/relationships/hyperlink" Target="https://etext-ise.pearson.com/eps/pearson-reader/api/item/80b490d3-a1ab-4627-bdae-ee8e47cbd061/1/file/9780135243749_et2_dccsb_pc_redserif_default/OPS/xhtml/M08_MILL9709_11_SE_C08_190.xhtml" TargetMode="External"/><Relationship Id="rId17" Type="http://schemas.openxmlformats.org/officeDocument/2006/relationships/hyperlink" Target="https://etext-ise.pearson.com/eps/pearson-reader/api/item/80b490d3-a1ab-4627-bdae-ee8e47cbd061/1/file/9780135243749_et2_dccsb_pc_redserif_default/OPS/xhtml/M08_MILL9709_11_SE_C08_198.xhtml" TargetMode="External"/><Relationship Id="rId25" Type="http://schemas.openxmlformats.org/officeDocument/2006/relationships/hyperlink" Target="https://etext-ise.pearson.com/eps/pearson-reader/api/item/80b490d3-a1ab-4627-bdae-ee8e47cbd061/1/file/9780135243749_et2_dccsb_pc_redserif_default/OPS/xhtml/M09_MILL9709_11_SE_C09_214.xhtml" TargetMode="External"/><Relationship Id="rId33" Type="http://schemas.openxmlformats.org/officeDocument/2006/relationships/hyperlink" Target="https://etext-ise.pearson.com/eps/pearson-reader/api/item/80b490d3-a1ab-4627-bdae-ee8e47cbd061/1/file/9780135243749_et2_dccsb_pc_redserif_default/OPS/xhtml/M09_MILL9709_11_SE_C09_231.x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text-ise.pearson.com/eps/pearson-reader/api/item/80b490d3-a1ab-4627-bdae-ee8e47cbd061/1/file/9780135243749_et2_dccsb_pc_redserif_default/OPS/xhtml/M08_MILL9709_11_SE_C08_199.xhtml" TargetMode="External"/><Relationship Id="rId20" Type="http://schemas.openxmlformats.org/officeDocument/2006/relationships/hyperlink" Target="https://etext-ise.pearson.com/eps/pearson-reader/api/item/80b490d3-a1ab-4627-bdae-ee8e47cbd061/1/file/9780135243749_et2_dccsb_pc_redserif_default/OPS/xhtml/M09_MILL9709_11_SE_C09_209.xhtml" TargetMode="External"/><Relationship Id="rId29" Type="http://schemas.openxmlformats.org/officeDocument/2006/relationships/hyperlink" Target="https://etext-ise.pearson.com/eps/pearson-reader/api/item/80b490d3-a1ab-4627-bdae-ee8e47cbd061/1/file/9780135243749_et2_dccsb_pc_redserif_default/OPS/xhtml/M09_MILL9709_11_SE_C09_225.x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ext-ise.pearson.com/eps/pearson-reader/api/item/80b490d3-a1ab-4627-bdae-ee8e47cbd061/1/file/9780135243749_et2_dccsb_pc_redserif_default/OPS/xhtml/M08_MILL9709_11_SE_C08.xhtml" TargetMode="External"/><Relationship Id="rId11" Type="http://schemas.openxmlformats.org/officeDocument/2006/relationships/hyperlink" Target="https://etext-ise.pearson.com/eps/pearson-reader/api/item/80b490d3-a1ab-4627-bdae-ee8e47cbd061/1/file/9780135243749_et2_dccsb_pc_redserif_default/OPS/xhtml/M08_MILL9709_11_SE_C08_191.xhtml" TargetMode="External"/><Relationship Id="rId24" Type="http://schemas.openxmlformats.org/officeDocument/2006/relationships/hyperlink" Target="https://etext-ise.pearson.com/eps/pearson-reader/api/item/80b490d3-a1ab-4627-bdae-ee8e47cbd061/1/file/9780135243749_et2_dccsb_pc_redserif_default/OPS/xhtml/M09_MILL9709_11_SE_C09_216.xhtml" TargetMode="External"/><Relationship Id="rId32" Type="http://schemas.openxmlformats.org/officeDocument/2006/relationships/hyperlink" Target="https://etext-ise.pearson.com/eps/pearson-reader/api/item/80b490d3-a1ab-4627-bdae-ee8e47cbd061/1/file/9780135243749_et2_dccsb_pc_redserif_default/OPS/xhtml/M09_MILL9709_11_SE_C09_231.xhtml" TargetMode="External"/><Relationship Id="rId5" Type="http://schemas.openxmlformats.org/officeDocument/2006/relationships/hyperlink" Target="https://etext-ise.pearson.com/eps/pearson-reader/api/item/80b490d3-a1ab-4627-bdae-ee8e47cbd061/1/file/9780135243749_et2_dccsb_pc_redserif_default/OPS/xhtml/M08_MILL9709_11_SE_C08_176.xhtml" TargetMode="External"/><Relationship Id="rId15" Type="http://schemas.openxmlformats.org/officeDocument/2006/relationships/hyperlink" Target="https://etext-ise.pearson.com/eps/pearson-reader/api/item/80b490d3-a1ab-4627-bdae-ee8e47cbd061/1/file/9780135243749_et2_dccsb_pc_redserif_default/OPS/xhtml/M08_MILL9709_11_SE_C08_196.xhtml" TargetMode="External"/><Relationship Id="rId23" Type="http://schemas.openxmlformats.org/officeDocument/2006/relationships/hyperlink" Target="https://etext-ise.pearson.com/eps/pearson-reader/api/item/80b490d3-a1ab-4627-bdae-ee8e47cbd061/1/file/9780135243749_et2_dccsb_pc_redserif_default/OPS/xhtml/M09_MILL9709_11_SE_C09_213.xhtml" TargetMode="External"/><Relationship Id="rId28" Type="http://schemas.openxmlformats.org/officeDocument/2006/relationships/hyperlink" Target="https://etext-ise.pearson.com/eps/pearson-reader/api/item/80b490d3-a1ab-4627-bdae-ee8e47cbd061/1/file/9780135243749_et2_dccsb_pc_redserif_default/OPS/xhtml/M09_MILL9709_11_SE_C09_226.xhtml" TargetMode="External"/><Relationship Id="rId10" Type="http://schemas.openxmlformats.org/officeDocument/2006/relationships/hyperlink" Target="https://etext-ise.pearson.com/eps/pearson-reader/api/item/80b490d3-a1ab-4627-bdae-ee8e47cbd061/1/file/9780135243749_et2_dccsb_pc_redserif_default/OPS/xhtml/M08_MILL9709_11_SE_C08_184.xhtml" TargetMode="External"/><Relationship Id="rId19" Type="http://schemas.openxmlformats.org/officeDocument/2006/relationships/hyperlink" Target="https://etext-ise.pearson.com/eps/pearson-reader/api/item/80b490d3-a1ab-4627-bdae-ee8e47cbd061/1/file/9780135243749_et2_dccsb_pc_redserif_default/OPS/xhtml/M09_MILL9709_11_SE_C09.xhtml" TargetMode="External"/><Relationship Id="rId31" Type="http://schemas.openxmlformats.org/officeDocument/2006/relationships/hyperlink" Target="https://etext-ise.pearson.com/eps/pearson-reader/api/item/80b490d3-a1ab-4627-bdae-ee8e47cbd061/1/file/9780135243749_et2_dccsb_pc_redserif_default/OPS/xhtml/M09_MILL9709_11_SE_C09_228.x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ext-ise.pearson.com/eps/pearson-reader/api/item/80b490d3-a1ab-4627-bdae-ee8e47cbd061/1/file/9780135243749_et2_dccsb_pc_redserif_default/OPS/xhtml/M08_MILL9709_11_SE_C08_185.xhtml" TargetMode="External"/><Relationship Id="rId14" Type="http://schemas.openxmlformats.org/officeDocument/2006/relationships/hyperlink" Target="https://etext-ise.pearson.com/eps/pearson-reader/api/item/80b490d3-a1ab-4627-bdae-ee8e47cbd061/1/file/9780135243749_et2_dccsb_pc_redserif_default/OPS/xhtml/M08_MILL9709_11_SE_C08_196.xhtml" TargetMode="External"/><Relationship Id="rId22" Type="http://schemas.openxmlformats.org/officeDocument/2006/relationships/hyperlink" Target="https://etext-ise.pearson.com/eps/pearson-reader/api/item/80b490d3-a1ab-4627-bdae-ee8e47cbd061/1/file/9780135243749_et2_dccsb_pc_redserif_default/OPS/xhtml/M09_MILL9709_11_SE_C09_214.xhtml" TargetMode="External"/><Relationship Id="rId27" Type="http://schemas.openxmlformats.org/officeDocument/2006/relationships/hyperlink" Target="https://etext-ise.pearson.com/eps/pearson-reader/api/item/80b490d3-a1ab-4627-bdae-ee8e47cbd061/1/file/9780135243749_et2_dccsb_pc_redserif_default/OPS/xhtml/M09_MILL9709_11_SE_C09_220.xhtml" TargetMode="External"/><Relationship Id="rId30" Type="http://schemas.openxmlformats.org/officeDocument/2006/relationships/hyperlink" Target="https://etext-ise.pearson.com/eps/pearson-reader/api/item/80b490d3-a1ab-4627-bdae-ee8e47cbd061/1/file/9780135243749_et2_dccsb_pc_redserif_default/OPS/xhtml/M09_MILL9709_11_SE_C09_229.x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text-ise.pearson.com/eps/pearson-reader/api/item/80b490d3-a1ab-4627-bdae-ee8e47cbd061/1/file/9780135243749_et2_dccsb_pc_redserif_default/OPS/xhtml/M08_MILL9709_11_SE_C08_176.x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1648</Words>
  <Characters>9396</Characters>
  <Application>Microsoft Office Word</Application>
  <DocSecurity>0</DocSecurity>
  <Lines>78</Lines>
  <Paragraphs>22</Paragraphs>
  <ScaleCrop>false</ScaleCrop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Garcia De Alba Azulvide</dc:creator>
  <cp:keywords/>
  <dc:description/>
  <cp:lastModifiedBy>Hector Garcia De Alba Azulvide</cp:lastModifiedBy>
  <cp:revision>1</cp:revision>
  <dcterms:created xsi:type="dcterms:W3CDTF">2021-04-01T14:32:00Z</dcterms:created>
  <dcterms:modified xsi:type="dcterms:W3CDTF">2021-04-01T14:33:00Z</dcterms:modified>
</cp:coreProperties>
</file>